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0C3" w:rsidRDefault="003040C3" w:rsidP="001A76C8">
      <w:pPr>
        <w:keepNext/>
        <w:jc w:val="both"/>
        <w:rPr>
          <w:rFonts w:ascii="Arial" w:hAnsi="Arial"/>
          <w:b/>
          <w:bCs/>
          <w:sz w:val="28"/>
          <w:szCs w:val="28"/>
        </w:rPr>
      </w:pPr>
    </w:p>
    <w:p w:rsidR="003040C3" w:rsidRPr="003047B8" w:rsidRDefault="003040C3" w:rsidP="001A76C8">
      <w:pPr>
        <w:keepNext/>
        <w:jc w:val="both"/>
        <w:rPr>
          <w:rFonts w:ascii="Arial" w:hAnsi="Arial"/>
          <w:b/>
          <w:bCs/>
          <w:sz w:val="28"/>
          <w:szCs w:val="28"/>
        </w:rPr>
      </w:pPr>
    </w:p>
    <w:p w:rsidR="00057EB8" w:rsidRDefault="00057EB8" w:rsidP="00057EB8">
      <w:pPr>
        <w:spacing w:after="280"/>
        <w:jc w:val="both"/>
        <w:rPr>
          <w:rFonts w:ascii="Arial" w:eastAsia="Arial" w:hAnsi="Arial" w:cs="Arial"/>
          <w:sz w:val="21"/>
          <w:szCs w:val="21"/>
        </w:rPr>
      </w:pPr>
      <w:r>
        <w:t>НЕ ПОДЛЕЖИТ РАЗГЛАШЕНИЮ, ПУБЛИКАЦИИ ИЛИ РАСПРОСТРАНЕНИЮ, ПРЯМО ИЛИ КОСВЕННО, ПОЛНОСТЬЮ ИЛИ ЧАСТИЧНО, В ЛЮБОЙ ЮРИСДИКЦИИ, ГДЕ ТАКОЕ ДЕЙСТВИЕ БУДЕТ РАСЦЕНЕНО КАК НАРУШЕНИЕ СООТВЕТСТВУЮЩЕГО ЗАКОНОДАТЕЛЬСТВА ДАННОЙ ЮРИСДИКЦИИ</w:t>
      </w: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Если иное не указано в настоящем документе, термины, написанные с заглавной буквы, используемые в настоящем документе, имеют те же значения, что и указанные в Меморандуме о Тендерном предложении от 27 апреля 2024 года («Меморандум о Тендерном предложении»), выпущенном ООО «Стрим </w:t>
      </w:r>
      <w:proofErr w:type="spellStart"/>
      <w:r>
        <w:rPr>
          <w:rFonts w:ascii="Arial" w:eastAsia="Arial" w:hAnsi="Arial" w:cs="Arial"/>
          <w:sz w:val="21"/>
          <w:szCs w:val="21"/>
        </w:rPr>
        <w:t>Диджитал</w:t>
      </w:r>
      <w:proofErr w:type="spellEnd"/>
      <w:r>
        <w:rPr>
          <w:rFonts w:ascii="Arial" w:eastAsia="Arial" w:hAnsi="Arial" w:cs="Arial"/>
          <w:sz w:val="21"/>
          <w:szCs w:val="21"/>
        </w:rPr>
        <w:t>» («Покупатель»), и опубликованном в сети Интернет по адресу:</w:t>
      </w:r>
    </w:p>
    <w:p w:rsidR="00057EB8" w:rsidRDefault="00057EB8" w:rsidP="00057EB8">
      <w:pPr>
        <w:spacing w:before="280" w:after="280"/>
        <w:jc w:val="both"/>
        <w:rPr>
          <w:rFonts w:eastAsia="Times New Roman" w:cs="Times New Roman"/>
          <w:sz w:val="22"/>
          <w:szCs w:val="22"/>
        </w:rPr>
      </w:pPr>
      <w:hyperlink r:id="rId7">
        <w:r>
          <w:rPr>
            <w:rFonts w:ascii="Arial" w:eastAsia="Arial" w:hAnsi="Arial" w:cs="Arial"/>
            <w:color w:val="467886"/>
            <w:sz w:val="21"/>
            <w:szCs w:val="21"/>
            <w:u w:val="single"/>
          </w:rPr>
          <w:t>https://ir.mts.ru/tender_offer</w:t>
        </w:r>
      </w:hyperlink>
    </w:p>
    <w:p w:rsidR="00057EB8" w:rsidRDefault="00057EB8" w:rsidP="00057EB8">
      <w:pPr>
        <w:spacing w:before="280" w:after="280"/>
        <w:rPr>
          <w:rFonts w:ascii="Arial" w:eastAsia="Arial" w:hAnsi="Arial" w:cs="Arial"/>
          <w:b/>
          <w:sz w:val="40"/>
          <w:szCs w:val="40"/>
        </w:rPr>
      </w:pPr>
      <w:r w:rsidRPr="00001C79">
        <w:rPr>
          <w:rFonts w:ascii="Arial" w:eastAsia="Arial" w:hAnsi="Arial" w:cs="Arial"/>
          <w:b/>
          <w:sz w:val="40"/>
          <w:szCs w:val="40"/>
        </w:rPr>
        <w:t xml:space="preserve">ПАО «МТС» УВЕДОМЛЯЕТ О ПРОДЛЕНИИ ДЕЙСТВИЯ ТЕНДЕРНОГО ПРЕДЛОЖЕНИЯ ДЛЯ ДЕРЖАТЕЛЕЙ ОБЫКНОВЕННЫХ АКЦИЙ КОМПАНИИ ДО </w:t>
      </w:r>
      <w:r w:rsidRPr="00A41E86">
        <w:rPr>
          <w:rFonts w:ascii="Arial" w:eastAsia="Arial" w:hAnsi="Arial" w:cs="Arial"/>
          <w:b/>
          <w:sz w:val="40"/>
          <w:szCs w:val="40"/>
        </w:rPr>
        <w:t>18 ИЮНЯ</w:t>
      </w:r>
    </w:p>
    <w:p w:rsidR="00057EB8" w:rsidRPr="001A3474" w:rsidRDefault="00057EB8" w:rsidP="00057EB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</w:pPr>
      <w:r w:rsidRPr="001A3474">
        <w:rPr>
          <w:rFonts w:ascii="Arial" w:eastAsia="Arial" w:hAnsi="Arial" w:cs="Arial"/>
          <w:sz w:val="21"/>
          <w:szCs w:val="21"/>
        </w:rPr>
        <w:t>27 апреля 2024 г. Компания объявила о запуске Тендерного предложения на приобретение до 83 932 026 акций компании «МТС» (4,2% всех акций «МТС»), предоставив инвесторам дополнительные возможности по продаже своих акций ПАО «МТС».</w:t>
      </w:r>
    </w:p>
    <w:p w:rsidR="00057EB8" w:rsidRPr="001A3474" w:rsidRDefault="00057EB8" w:rsidP="00057EB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</w:pPr>
      <w:r w:rsidRPr="001A3474">
        <w:rPr>
          <w:rFonts w:ascii="Arial" w:eastAsia="Arial" w:hAnsi="Arial" w:cs="Arial"/>
          <w:sz w:val="21"/>
          <w:szCs w:val="21"/>
        </w:rPr>
        <w:t xml:space="preserve">Учитывая большое количество запросов от акционеров-нерезидентов и с целью дать инвесторам дополнительное время для подачи документов, Компания объявляет о принятии решения о продлении срока приема заявок в рамках Тендерного предложения с 28 мая 2024 г. </w:t>
      </w:r>
      <w:r w:rsidRPr="00A41E86">
        <w:rPr>
          <w:rFonts w:ascii="Arial" w:eastAsia="Arial" w:hAnsi="Arial" w:cs="Arial"/>
          <w:sz w:val="21"/>
          <w:szCs w:val="21"/>
        </w:rPr>
        <w:t>до 18 июня 2024 г.</w:t>
      </w:r>
    </w:p>
    <w:p w:rsidR="00057EB8" w:rsidRPr="001A3474" w:rsidRDefault="00057EB8" w:rsidP="00057EB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Arial" w:eastAsia="Arial" w:hAnsi="Arial" w:cs="Arial"/>
          <w:sz w:val="21"/>
          <w:szCs w:val="21"/>
        </w:rPr>
      </w:pPr>
      <w:r w:rsidRPr="001A3474">
        <w:rPr>
          <w:rFonts w:ascii="Arial" w:eastAsia="Arial" w:hAnsi="Arial" w:cs="Arial"/>
          <w:sz w:val="21"/>
          <w:szCs w:val="21"/>
        </w:rPr>
        <w:t xml:space="preserve">Компания объявляет о </w:t>
      </w:r>
      <w:bookmarkStart w:id="0" w:name="_Hlk167466943"/>
      <w:r w:rsidRPr="001A3474">
        <w:rPr>
          <w:rFonts w:ascii="Arial" w:eastAsia="Arial" w:hAnsi="Arial" w:cs="Arial"/>
          <w:sz w:val="21"/>
          <w:szCs w:val="21"/>
        </w:rPr>
        <w:t xml:space="preserve">получении выписки из протокола Правительственной комиссии </w:t>
      </w:r>
      <w:bookmarkEnd w:id="0"/>
      <w:r w:rsidRPr="001A3474">
        <w:rPr>
          <w:rFonts w:ascii="Arial" w:eastAsia="Arial" w:hAnsi="Arial" w:cs="Arial"/>
          <w:sz w:val="21"/>
          <w:szCs w:val="21"/>
        </w:rPr>
        <w:t>по контролю за осуществлением иностранных инвестиций в Российской Федерации в отношении Тендерного предложения.</w:t>
      </w: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b/>
          <w:sz w:val="21"/>
          <w:szCs w:val="21"/>
        </w:rPr>
      </w:pPr>
      <w:r w:rsidRPr="00001C79">
        <w:rPr>
          <w:rFonts w:ascii="Arial" w:eastAsia="Arial" w:hAnsi="Arial" w:cs="Arial"/>
          <w:b/>
          <w:sz w:val="21"/>
          <w:szCs w:val="21"/>
        </w:rPr>
        <w:t xml:space="preserve">Москва, 27 мая 2024 г.: </w:t>
      </w:r>
      <w:r w:rsidRPr="00001C79">
        <w:rPr>
          <w:rFonts w:ascii="Arial" w:eastAsia="Arial" w:hAnsi="Arial" w:cs="Arial"/>
          <w:sz w:val="21"/>
          <w:szCs w:val="21"/>
        </w:rPr>
        <w:t xml:space="preserve">ПАО «МТС» (MOEX: MTSS; также «МТС», «Компания»), цифровая экосистема, уведомляет о продлении ООО «Стрим </w:t>
      </w:r>
      <w:proofErr w:type="spellStart"/>
      <w:r w:rsidRPr="00001C79">
        <w:rPr>
          <w:rFonts w:ascii="Arial" w:eastAsia="Arial" w:hAnsi="Arial" w:cs="Arial"/>
          <w:sz w:val="21"/>
          <w:szCs w:val="21"/>
        </w:rPr>
        <w:t>Диджитал</w:t>
      </w:r>
      <w:proofErr w:type="spellEnd"/>
      <w:r w:rsidRPr="00001C79">
        <w:rPr>
          <w:rFonts w:ascii="Arial" w:eastAsia="Arial" w:hAnsi="Arial" w:cs="Arial"/>
          <w:sz w:val="21"/>
          <w:szCs w:val="21"/>
        </w:rPr>
        <w:t xml:space="preserve">» </w:t>
      </w:r>
      <w:r w:rsidRPr="00001C79">
        <w:rPr>
          <w:rFonts w:ascii="Arial" w:eastAsia="Arial" w:hAnsi="Arial" w:cs="Arial"/>
          <w:b/>
          <w:sz w:val="21"/>
          <w:szCs w:val="21"/>
        </w:rPr>
        <w:t>(«Покупатель»)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 w:rsidRPr="00001C79">
        <w:rPr>
          <w:rFonts w:ascii="Arial" w:eastAsia="Arial" w:hAnsi="Arial" w:cs="Arial"/>
          <w:sz w:val="21"/>
          <w:szCs w:val="21"/>
        </w:rPr>
        <w:t xml:space="preserve">срока приема заявок в рамках Тендерного предложения </w:t>
      </w:r>
      <w:r>
        <w:rPr>
          <w:rFonts w:ascii="Arial" w:eastAsia="Arial" w:hAnsi="Arial" w:cs="Arial"/>
          <w:sz w:val="21"/>
          <w:szCs w:val="21"/>
        </w:rPr>
        <w:t xml:space="preserve">с 28 мая 2024 г. </w:t>
      </w:r>
      <w:r w:rsidRPr="00A41E86">
        <w:rPr>
          <w:rFonts w:ascii="Arial" w:eastAsia="Arial" w:hAnsi="Arial" w:cs="Arial"/>
          <w:sz w:val="21"/>
          <w:szCs w:val="21"/>
        </w:rPr>
        <w:t>до 18 июня 2024 г.</w:t>
      </w:r>
      <w:r w:rsidRPr="00001C79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Соответственно, иные сроки ожидаемых событий в рамках Тендерного предложения также подлежат продлению в соответствии с графиком ниже. Покупатель, </w:t>
      </w:r>
      <w:r w:rsidRPr="00001C79">
        <w:rPr>
          <w:rFonts w:ascii="Arial" w:eastAsia="Arial" w:hAnsi="Arial" w:cs="Arial"/>
          <w:sz w:val="21"/>
          <w:szCs w:val="21"/>
        </w:rPr>
        <w:t xml:space="preserve">стопроцентное дочернее предприятие ПАО «МТС», </w:t>
      </w:r>
      <w:r>
        <w:rPr>
          <w:rFonts w:ascii="Arial" w:eastAsia="Arial" w:hAnsi="Arial" w:cs="Arial"/>
          <w:sz w:val="21"/>
          <w:szCs w:val="21"/>
        </w:rPr>
        <w:t xml:space="preserve">27 апреля 2024 г. </w:t>
      </w:r>
      <w:r w:rsidRPr="00001C79">
        <w:rPr>
          <w:rFonts w:ascii="Arial" w:eastAsia="Arial" w:hAnsi="Arial" w:cs="Arial"/>
          <w:sz w:val="21"/>
          <w:szCs w:val="21"/>
        </w:rPr>
        <w:t>объяв</w:t>
      </w:r>
      <w:r>
        <w:rPr>
          <w:rFonts w:ascii="Arial" w:eastAsia="Arial" w:hAnsi="Arial" w:cs="Arial"/>
          <w:sz w:val="21"/>
          <w:szCs w:val="21"/>
        </w:rPr>
        <w:t>ил</w:t>
      </w:r>
      <w:r w:rsidRPr="00001C79">
        <w:rPr>
          <w:rFonts w:ascii="Arial" w:eastAsia="Arial" w:hAnsi="Arial" w:cs="Arial"/>
          <w:sz w:val="21"/>
          <w:szCs w:val="21"/>
        </w:rPr>
        <w:t xml:space="preserve"> Тендерное предложение, цель которого – предложить держателям обыкновенных акций Компании (ISIN: RU0007775219)</w:t>
      </w:r>
      <w:r w:rsidRPr="00001C79">
        <w:rPr>
          <w:rFonts w:ascii="Arial" w:eastAsia="Arial" w:hAnsi="Arial" w:cs="Arial"/>
          <w:b/>
          <w:sz w:val="21"/>
          <w:szCs w:val="21"/>
        </w:rPr>
        <w:t xml:space="preserve"> («Акции»), </w:t>
      </w:r>
      <w:r w:rsidRPr="00001C79">
        <w:rPr>
          <w:rFonts w:ascii="Arial" w:eastAsia="Arial" w:hAnsi="Arial" w:cs="Arial"/>
          <w:sz w:val="21"/>
          <w:szCs w:val="21"/>
        </w:rPr>
        <w:t xml:space="preserve">включая </w:t>
      </w:r>
      <w:proofErr w:type="spellStart"/>
      <w:r w:rsidRPr="00001C79">
        <w:rPr>
          <w:rFonts w:ascii="Arial" w:eastAsia="Arial" w:hAnsi="Arial" w:cs="Arial"/>
          <w:sz w:val="21"/>
          <w:szCs w:val="21"/>
        </w:rPr>
        <w:t>JPMorgan</w:t>
      </w:r>
      <w:proofErr w:type="spellEnd"/>
      <w:r w:rsidRPr="00001C79">
        <w:rPr>
          <w:rFonts w:ascii="Arial" w:eastAsia="Arial" w:hAnsi="Arial" w:cs="Arial"/>
          <w:sz w:val="21"/>
          <w:szCs w:val="21"/>
        </w:rPr>
        <w:t xml:space="preserve"> Chase Bank, N.A. как банка-депозитария программы депозитарных расписок на Акции</w:t>
      </w:r>
      <w:r w:rsidRPr="00001C79">
        <w:rPr>
          <w:rFonts w:ascii="Arial" w:eastAsia="Arial" w:hAnsi="Arial" w:cs="Arial"/>
          <w:b/>
          <w:sz w:val="21"/>
          <w:szCs w:val="21"/>
        </w:rPr>
        <w:t xml:space="preserve"> («Акционерам»), </w:t>
      </w:r>
      <w:r w:rsidRPr="00001C79">
        <w:rPr>
          <w:rFonts w:ascii="Arial" w:eastAsia="Arial" w:hAnsi="Arial" w:cs="Arial"/>
          <w:sz w:val="21"/>
          <w:szCs w:val="21"/>
        </w:rPr>
        <w:t xml:space="preserve">выкупить за денежные средства до 83 932 026 Акций, или до 4,2% всех Акций в обращении </w:t>
      </w:r>
      <w:r w:rsidRPr="00001C79">
        <w:rPr>
          <w:rFonts w:ascii="Arial" w:eastAsia="Arial" w:hAnsi="Arial" w:cs="Arial"/>
          <w:b/>
          <w:sz w:val="21"/>
          <w:szCs w:val="21"/>
        </w:rPr>
        <w:t>(«Тендерное предложение»).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sz w:val="21"/>
          <w:szCs w:val="21"/>
        </w:rPr>
      </w:pPr>
      <w:r w:rsidRPr="00D45646">
        <w:rPr>
          <w:rFonts w:ascii="Arial" w:eastAsia="Arial" w:hAnsi="Arial" w:cs="Arial"/>
          <w:sz w:val="21"/>
          <w:szCs w:val="21"/>
        </w:rPr>
        <w:t>Компания объявляет о принятии Покупателем решения о продлении срока приема заявок в рамках Тендерного предложения из-за большого количества обращений от ряда акционеров, чтобы у инвесторов было достаточно времени предоставить необходимые документы.</w:t>
      </w: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Размер Тендерного предложения и цена приобретения в размере 95,0 рублей за Акцию («Цена приобретения») были установлены в соответствии с разрешением Правительственной комиссией по контролю за осуществлением иностранных инвестиций в Российской Федерации («Правительственная комиссия»). </w:t>
      </w: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sz w:val="21"/>
          <w:szCs w:val="21"/>
        </w:rPr>
      </w:pPr>
      <w:r w:rsidRPr="00B03E0F">
        <w:rPr>
          <w:rFonts w:ascii="Arial" w:eastAsia="Arial" w:hAnsi="Arial" w:cs="Arial"/>
          <w:sz w:val="21"/>
          <w:szCs w:val="21"/>
        </w:rPr>
        <w:t>Компания объявляет о получении Покупателем выписки из протокола Правительственной комиссии в отношении Тендерного предложения, в соответствии с которым участники Тендерного предложения могут воспользоваться некоторыми послаблениями, в том числе:</w:t>
      </w:r>
    </w:p>
    <w:p w:rsidR="00057EB8" w:rsidRPr="00211539" w:rsidRDefault="00057EB8" w:rsidP="00057EB8">
      <w:pPr>
        <w:numPr>
          <w:ilvl w:val="0"/>
          <w:numId w:val="1"/>
        </w:numPr>
        <w:pBdr>
          <w:bar w:val="none" w:sz="0" w:color="auto"/>
        </w:pBdr>
        <w:spacing w:before="125" w:after="120" w:line="241" w:lineRule="auto"/>
        <w:ind w:left="709" w:hanging="357"/>
        <w:jc w:val="both"/>
        <w:rPr>
          <w:sz w:val="21"/>
          <w:szCs w:val="21"/>
        </w:rPr>
      </w:pPr>
      <w:r w:rsidRPr="00211539">
        <w:rPr>
          <w:rFonts w:ascii="Arial" w:eastAsia="Arial" w:hAnsi="Arial" w:cs="Arial"/>
          <w:sz w:val="21"/>
          <w:szCs w:val="21"/>
        </w:rPr>
        <w:t>акционеры-нерезиденты, Акции которых хранятся на Счете депо типа «С», смогут предъявить свои Акции к выкупу;</w:t>
      </w:r>
    </w:p>
    <w:p w:rsidR="00057EB8" w:rsidRPr="00211539" w:rsidRDefault="00057EB8" w:rsidP="00057EB8">
      <w:pPr>
        <w:numPr>
          <w:ilvl w:val="0"/>
          <w:numId w:val="1"/>
        </w:numPr>
        <w:pBdr>
          <w:bar w:val="none" w:sz="0" w:color="auto"/>
        </w:pBdr>
        <w:spacing w:before="125" w:after="120" w:line="241" w:lineRule="auto"/>
        <w:ind w:left="709" w:hanging="357"/>
        <w:jc w:val="both"/>
        <w:rPr>
          <w:sz w:val="21"/>
          <w:szCs w:val="21"/>
        </w:rPr>
      </w:pPr>
      <w:r w:rsidRPr="00211539">
        <w:rPr>
          <w:rFonts w:ascii="Arial" w:eastAsia="Arial" w:hAnsi="Arial" w:cs="Arial"/>
          <w:sz w:val="21"/>
          <w:szCs w:val="21"/>
        </w:rPr>
        <w:t>акционеры-нерезиденты, Акции которых хранятся на Счете депо типа «С» и чьи Акции были предъявлены и приняты к покупке Покупателем в рамках Тендерного предложения, смогут перевести такие Акции на Счет депо Покупателя; и</w:t>
      </w:r>
    </w:p>
    <w:p w:rsidR="00057EB8" w:rsidRPr="00211539" w:rsidRDefault="00057EB8" w:rsidP="00057EB8">
      <w:pPr>
        <w:numPr>
          <w:ilvl w:val="0"/>
          <w:numId w:val="1"/>
        </w:numPr>
        <w:pBdr>
          <w:bar w:val="none" w:sz="0" w:color="auto"/>
        </w:pBdr>
        <w:spacing w:before="125" w:after="120" w:line="241" w:lineRule="auto"/>
        <w:ind w:left="709" w:hanging="357"/>
        <w:jc w:val="both"/>
        <w:rPr>
          <w:sz w:val="21"/>
          <w:szCs w:val="21"/>
        </w:rPr>
      </w:pPr>
      <w:r w:rsidRPr="00211539">
        <w:rPr>
          <w:rFonts w:ascii="Arial" w:eastAsia="Arial" w:hAnsi="Arial" w:cs="Arial"/>
          <w:sz w:val="21"/>
          <w:szCs w:val="21"/>
        </w:rPr>
        <w:t xml:space="preserve">Акционеры-нерезиденты, Акции которых хранятся на Счете депо типа «С» и Акции которых были приобретены Покупателем в рамках Тендерного предложения, смогут получить </w:t>
      </w:r>
      <w:r>
        <w:rPr>
          <w:rFonts w:ascii="Arial" w:eastAsia="Arial" w:hAnsi="Arial" w:cs="Arial"/>
          <w:sz w:val="21"/>
          <w:szCs w:val="21"/>
        </w:rPr>
        <w:t>покупную цену</w:t>
      </w:r>
      <w:r w:rsidRPr="00211539">
        <w:rPr>
          <w:rFonts w:ascii="Arial" w:eastAsia="Arial" w:hAnsi="Arial" w:cs="Arial"/>
          <w:sz w:val="21"/>
          <w:szCs w:val="21"/>
        </w:rPr>
        <w:t xml:space="preserve"> таких Акций в российских рублях или, в отношении только акционеров-нерезидентов, в любой Альтернативной валюте на их банковские счета в Российской Федерации или за рубежом.</w:t>
      </w:r>
    </w:p>
    <w:p w:rsidR="00057EB8" w:rsidRDefault="00057EB8" w:rsidP="00057EB8">
      <w:pPr>
        <w:spacing w:before="120" w:after="120" w:line="241" w:lineRule="auto"/>
        <w:jc w:val="both"/>
        <w:rPr>
          <w:rFonts w:ascii="Arial" w:eastAsia="Arial" w:hAnsi="Arial" w:cs="Arial"/>
          <w:sz w:val="21"/>
          <w:szCs w:val="21"/>
        </w:rPr>
      </w:pPr>
      <w:r w:rsidRPr="00211539">
        <w:rPr>
          <w:rFonts w:ascii="Arial" w:eastAsia="Arial" w:hAnsi="Arial" w:cs="Arial"/>
          <w:sz w:val="21"/>
          <w:szCs w:val="21"/>
        </w:rPr>
        <w:t>Прочие условия Тендерного предложения, объявленные ранее 27 апреля, остаются без изменений.</w:t>
      </w:r>
    </w:p>
    <w:p w:rsidR="00057EB8" w:rsidRDefault="00057EB8" w:rsidP="00057EB8">
      <w:pPr>
        <w:spacing w:before="120" w:after="120" w:line="241" w:lineRule="auto"/>
        <w:jc w:val="both"/>
        <w:rPr>
          <w:rFonts w:ascii="Arial" w:eastAsia="Arial" w:hAnsi="Arial" w:cs="Arial"/>
          <w:sz w:val="21"/>
          <w:szCs w:val="21"/>
        </w:rPr>
      </w:pPr>
    </w:p>
    <w:p w:rsidR="00057EB8" w:rsidRDefault="00057EB8" w:rsidP="00057EB8">
      <w:pPr>
        <w:widowControl w:val="0"/>
        <w:spacing w:before="120" w:after="120" w:line="241" w:lineRule="auto"/>
        <w:ind w:firstLine="360"/>
        <w:jc w:val="both"/>
        <w:rPr>
          <w:rFonts w:ascii="Arial" w:eastAsia="Arial" w:hAnsi="Arial" w:cs="Arial"/>
          <w:sz w:val="21"/>
          <w:szCs w:val="21"/>
        </w:rPr>
      </w:pP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График ожидаемых событий в рамках Тендерного предложения</w:t>
      </w:r>
    </w:p>
    <w:tbl>
      <w:tblPr>
        <w:tblW w:w="903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5"/>
        <w:gridCol w:w="4346"/>
      </w:tblGrid>
      <w:tr w:rsidR="00057EB8" w:rsidTr="00F71C45">
        <w:tc>
          <w:tcPr>
            <w:tcW w:w="4685" w:type="dxa"/>
          </w:tcPr>
          <w:p w:rsidR="00057EB8" w:rsidRDefault="00057EB8" w:rsidP="00F71C45">
            <w:pPr>
              <w:spacing w:line="241" w:lineRule="auto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sz w:val="21"/>
                <w:szCs w:val="21"/>
              </w:rPr>
              <w:t>ДАТА И ВРЕМЯ</w:t>
            </w:r>
          </w:p>
        </w:tc>
        <w:tc>
          <w:tcPr>
            <w:tcW w:w="4346" w:type="dxa"/>
          </w:tcPr>
          <w:p w:rsidR="00057EB8" w:rsidRDefault="00057EB8" w:rsidP="00F71C45">
            <w:pPr>
              <w:spacing w:line="241" w:lineRule="auto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СОБЫТИЕ</w:t>
            </w:r>
          </w:p>
        </w:tc>
      </w:tr>
      <w:tr w:rsidR="00057EB8" w:rsidTr="00F71C45">
        <w:tc>
          <w:tcPr>
            <w:tcW w:w="4685" w:type="dxa"/>
          </w:tcPr>
          <w:p w:rsidR="00057EB8" w:rsidRDefault="00057EB8" w:rsidP="00F71C45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27 апреля 2024 г.</w:t>
            </w:r>
          </w:p>
        </w:tc>
        <w:tc>
          <w:tcPr>
            <w:tcW w:w="4346" w:type="dxa"/>
          </w:tcPr>
          <w:p w:rsidR="00057EB8" w:rsidRDefault="00057EB8" w:rsidP="00F71C45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</w:rPr>
              <w:t>Объявление Тендерного предложения и начало периода действия Тендерного предложения</w:t>
            </w:r>
          </w:p>
        </w:tc>
      </w:tr>
      <w:tr w:rsidR="00057EB8" w:rsidTr="00F71C45">
        <w:tc>
          <w:tcPr>
            <w:tcW w:w="4685" w:type="dxa"/>
          </w:tcPr>
          <w:p w:rsidR="00057EB8" w:rsidRPr="00A41E86" w:rsidRDefault="00057EB8" w:rsidP="00F71C45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1E86">
              <w:rPr>
                <w:rFonts w:ascii="Arial" w:eastAsia="Arial" w:hAnsi="Arial" w:cs="Arial"/>
                <w:sz w:val="21"/>
                <w:szCs w:val="21"/>
              </w:rPr>
              <w:t>12:00 по московскому времени 18 июня 2024 г.</w:t>
            </w:r>
          </w:p>
        </w:tc>
        <w:tc>
          <w:tcPr>
            <w:tcW w:w="4346" w:type="dxa"/>
          </w:tcPr>
          <w:p w:rsidR="00057EB8" w:rsidRDefault="00057EB8" w:rsidP="00F71C45">
            <w:pPr>
              <w:spacing w:before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</w:rPr>
              <w:t>Крайний срок подачи Тендерных заявок Акционерами (Время истечения срока подачи)</w:t>
            </w:r>
          </w:p>
        </w:tc>
      </w:tr>
      <w:tr w:rsidR="00057EB8" w:rsidTr="00F71C45">
        <w:tc>
          <w:tcPr>
            <w:tcW w:w="4685" w:type="dxa"/>
          </w:tcPr>
          <w:p w:rsidR="00057EB8" w:rsidRPr="00A41E86" w:rsidRDefault="00057EB8" w:rsidP="00F71C45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1E86">
              <w:rPr>
                <w:rFonts w:ascii="Arial" w:eastAsia="Arial" w:hAnsi="Arial" w:cs="Arial"/>
                <w:sz w:val="21"/>
                <w:szCs w:val="21"/>
              </w:rPr>
              <w:t>До 24 июня 2024 г.</w:t>
            </w:r>
          </w:p>
        </w:tc>
        <w:tc>
          <w:tcPr>
            <w:tcW w:w="4346" w:type="dxa"/>
          </w:tcPr>
          <w:p w:rsidR="00057EB8" w:rsidRDefault="00057EB8" w:rsidP="00F71C45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Объявление результатов сбора тендерных заявок и </w:t>
            </w:r>
            <w:proofErr w:type="spellStart"/>
            <w:r>
              <w:rPr>
                <w:rFonts w:ascii="Arial" w:eastAsia="Arial" w:hAnsi="Arial" w:cs="Arial"/>
              </w:rPr>
              <w:t>аллокация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пропорцинальное</w:t>
            </w:r>
            <w:proofErr w:type="spellEnd"/>
            <w:r>
              <w:rPr>
                <w:rFonts w:ascii="Arial" w:eastAsia="Arial" w:hAnsi="Arial" w:cs="Arial"/>
              </w:rPr>
              <w:t xml:space="preserve"> разделение (в случае подачи большего числа заявок, чем Покупатель заявил к покупке) (не позднее четырех рабочих дней с момента Времени истечения срока подачи)</w:t>
            </w:r>
          </w:p>
        </w:tc>
      </w:tr>
      <w:tr w:rsidR="00057EB8" w:rsidTr="00F71C45">
        <w:tc>
          <w:tcPr>
            <w:tcW w:w="4685" w:type="dxa"/>
          </w:tcPr>
          <w:p w:rsidR="00057EB8" w:rsidRPr="00A41E86" w:rsidRDefault="00057EB8" w:rsidP="00F71C45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1E86">
              <w:rPr>
                <w:rFonts w:ascii="Arial" w:eastAsia="Arial" w:hAnsi="Arial" w:cs="Arial"/>
                <w:sz w:val="21"/>
                <w:szCs w:val="21"/>
              </w:rPr>
              <w:t>25 июня 2024 г.</w:t>
            </w:r>
          </w:p>
        </w:tc>
        <w:tc>
          <w:tcPr>
            <w:tcW w:w="4346" w:type="dxa"/>
          </w:tcPr>
          <w:p w:rsidR="00057EB8" w:rsidRDefault="00057EB8" w:rsidP="00F71C45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Отправка Тендерных заявок с указанием количества Акций, приобретаемых Покупателем у </w:t>
            </w:r>
            <w:r>
              <w:rPr>
                <w:rFonts w:ascii="Arial" w:eastAsia="Arial" w:hAnsi="Arial" w:cs="Arial"/>
              </w:rPr>
              <w:lastRenderedPageBreak/>
              <w:t xml:space="preserve">соответствующего Акционера, и подписанных Покупателем (Дата совершения сделки). </w:t>
            </w:r>
            <w:r>
              <w:rPr>
                <w:rFonts w:ascii="Arial" w:eastAsia="Arial" w:hAnsi="Arial" w:cs="Arial"/>
                <w:sz w:val="21"/>
                <w:szCs w:val="21"/>
              </w:rPr>
              <w:t>Дата совершения сделки будет указана Покупателем на последней странице Тендерной заявки.</w:t>
            </w:r>
          </w:p>
        </w:tc>
      </w:tr>
      <w:tr w:rsidR="00057EB8" w:rsidTr="00F71C45">
        <w:tc>
          <w:tcPr>
            <w:tcW w:w="4685" w:type="dxa"/>
          </w:tcPr>
          <w:p w:rsidR="00057EB8" w:rsidRPr="00A41E86" w:rsidRDefault="00057EB8" w:rsidP="00F71C45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bookmarkStart w:id="2" w:name="_30j0zll" w:colFirst="0" w:colLast="0"/>
            <w:bookmarkEnd w:id="2"/>
            <w:r w:rsidRPr="00A41E86">
              <w:rPr>
                <w:rFonts w:ascii="Arial" w:eastAsia="Arial" w:hAnsi="Arial" w:cs="Arial"/>
                <w:sz w:val="21"/>
                <w:szCs w:val="21"/>
              </w:rPr>
              <w:lastRenderedPageBreak/>
              <w:t>25 июня 2024 г. – 2 июля 2024 г.</w:t>
            </w:r>
          </w:p>
        </w:tc>
        <w:tc>
          <w:tcPr>
            <w:tcW w:w="4346" w:type="dxa"/>
          </w:tcPr>
          <w:p w:rsidR="00057EB8" w:rsidRDefault="00057EB8" w:rsidP="00F71C45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</w:rPr>
              <w:t>Передача Акций акционерами, чьи Тендерные заявки были акцептованы, Покупателю (</w:t>
            </w:r>
            <w:r>
              <w:rPr>
                <w:rFonts w:ascii="Arial" w:eastAsia="Arial" w:hAnsi="Arial" w:cs="Arial"/>
                <w:u w:val="single"/>
              </w:rPr>
              <w:t>не позднее пятого Рабочего дн</w:t>
            </w:r>
            <w:r>
              <w:rPr>
                <w:rFonts w:ascii="Arial" w:eastAsia="Arial" w:hAnsi="Arial" w:cs="Arial"/>
              </w:rPr>
              <w:t>я после Даты совершения сделки)</w:t>
            </w:r>
          </w:p>
        </w:tc>
      </w:tr>
      <w:tr w:rsidR="00057EB8" w:rsidTr="00F71C45">
        <w:trPr>
          <w:trHeight w:val="65"/>
        </w:trPr>
        <w:tc>
          <w:tcPr>
            <w:tcW w:w="4685" w:type="dxa"/>
          </w:tcPr>
          <w:p w:rsidR="00057EB8" w:rsidRPr="00A41E86" w:rsidRDefault="00057EB8" w:rsidP="00F71C45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1E86">
              <w:rPr>
                <w:rFonts w:ascii="Arial" w:eastAsia="Arial" w:hAnsi="Arial" w:cs="Arial"/>
                <w:sz w:val="21"/>
                <w:szCs w:val="21"/>
              </w:rPr>
              <w:t xml:space="preserve">2 июля 2024 г. – 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 w:rsidRPr="00A41E86">
              <w:rPr>
                <w:rFonts w:ascii="Arial" w:eastAsia="Arial" w:hAnsi="Arial" w:cs="Arial"/>
                <w:sz w:val="21"/>
                <w:szCs w:val="21"/>
              </w:rPr>
              <w:t xml:space="preserve"> июля 2024 г.</w:t>
            </w:r>
          </w:p>
        </w:tc>
        <w:tc>
          <w:tcPr>
            <w:tcW w:w="4346" w:type="dxa"/>
          </w:tcPr>
          <w:p w:rsidR="00057EB8" w:rsidRDefault="00057EB8" w:rsidP="00F71C45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</w:rPr>
              <w:t>Платеж за переданные Покупателю Акции акционеров, чьи Тендерные заявки были акцептованы (</w:t>
            </w:r>
            <w:r>
              <w:rPr>
                <w:rFonts w:ascii="Arial" w:eastAsia="Arial" w:hAnsi="Arial" w:cs="Arial"/>
                <w:u w:val="single"/>
              </w:rPr>
              <w:t>не позднее пятого Рабочего дня</w:t>
            </w:r>
            <w:r>
              <w:rPr>
                <w:rFonts w:ascii="Arial" w:eastAsia="Arial" w:hAnsi="Arial" w:cs="Arial"/>
              </w:rPr>
              <w:t xml:space="preserve"> после получения Акций Покупателем на основании соответствующей Тендерной заявки)</w:t>
            </w:r>
          </w:p>
        </w:tc>
      </w:tr>
      <w:tr w:rsidR="00057EB8" w:rsidTr="00F71C45">
        <w:tc>
          <w:tcPr>
            <w:tcW w:w="4685" w:type="dxa"/>
          </w:tcPr>
          <w:p w:rsidR="00057EB8" w:rsidRDefault="00057EB8" w:rsidP="00F71C45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1E86"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 w:rsidRPr="00A41E86">
              <w:rPr>
                <w:rFonts w:ascii="Arial" w:eastAsia="Arial" w:hAnsi="Arial" w:cs="Arial"/>
                <w:sz w:val="21"/>
                <w:szCs w:val="21"/>
              </w:rPr>
              <w:t xml:space="preserve"> июля 2024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г. или примерно в эту дату</w:t>
            </w:r>
          </w:p>
        </w:tc>
        <w:tc>
          <w:tcPr>
            <w:tcW w:w="4346" w:type="dxa"/>
          </w:tcPr>
          <w:p w:rsidR="00057EB8" w:rsidRDefault="00057EB8" w:rsidP="00F71C45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Объявление о завершении Тендерного предложения (по завершении всех расчетов в отношении купли-продажи Акций, принятых для приобретения Покупателем)</w:t>
            </w:r>
          </w:p>
        </w:tc>
      </w:tr>
    </w:tbl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b/>
          <w:sz w:val="18"/>
          <w:szCs w:val="18"/>
        </w:rPr>
      </w:pP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Порядок участия в Тендерном предложении описан в Меморандуме о тендерном предложении. Все объявления относительно Тендерного предложения, а также соответствующая документация будут доступны по адресу:</w:t>
      </w: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sz w:val="21"/>
          <w:szCs w:val="21"/>
          <w:u w:val="single"/>
        </w:rPr>
      </w:pPr>
      <w:hyperlink r:id="rId8">
        <w:r>
          <w:rPr>
            <w:rFonts w:ascii="Arial" w:eastAsia="Arial" w:hAnsi="Arial" w:cs="Arial"/>
            <w:sz w:val="21"/>
            <w:szCs w:val="21"/>
            <w:u w:val="single"/>
          </w:rPr>
          <w:t>https://ir.mts.ru/tender_offer</w:t>
        </w:r>
      </w:hyperlink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Вопросы и запросы о содействии в связи с настоящим Тендерным предложением, процедурами подачи Тендерных заявок и платежами за предъявленные к выкупу Акции могут быть направлены Тендерному и Платежному агенту по следующему адресу электронной почты: </w:t>
      </w:r>
      <w:r>
        <w:rPr>
          <w:rFonts w:ascii="Arial" w:eastAsia="Arial" w:hAnsi="Arial" w:cs="Arial"/>
          <w:b/>
          <w:sz w:val="21"/>
          <w:szCs w:val="21"/>
          <w:u w:val="single"/>
        </w:rPr>
        <w:t>tender@mtsgsm.com.</w:t>
      </w: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Контакты: </w:t>
      </w: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Если Вы хотите участвовать в Тендерном предложении или у Вас возникли вопросы и необходима консультация по порядку подачи заявок на продажу Акций в рамках Тендерного предложения, пожалуйста, свяжитесь с Покупателем в рабочее время по указанным контактам:</w:t>
      </w:r>
    </w:p>
    <w:p w:rsidR="00057EB8" w:rsidRDefault="00057EB8" w:rsidP="00057EB8">
      <w:pPr>
        <w:rPr>
          <w:rFonts w:ascii="Arial" w:eastAsia="Arial" w:hAnsi="Arial" w:cs="Arial"/>
          <w:b/>
          <w:sz w:val="20"/>
          <w:szCs w:val="20"/>
        </w:rPr>
      </w:pPr>
      <w:bookmarkStart w:id="3" w:name="_1fob9te" w:colFirst="0" w:colLast="0"/>
      <w:bookmarkEnd w:id="3"/>
    </w:p>
    <w:p w:rsidR="00057EB8" w:rsidRDefault="00057EB8" w:rsidP="00057EB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Контактные данные для инвесторов                   </w:t>
      </w:r>
    </w:p>
    <w:p w:rsidR="00057EB8" w:rsidRDefault="00057EB8" w:rsidP="00057EB8">
      <w:pPr>
        <w:widowControl w:val="0"/>
        <w:spacing w:before="120" w:after="120" w:line="241" w:lineRule="auto"/>
        <w:ind w:right="7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Email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hyperlink r:id="rId9">
        <w:r>
          <w:rPr>
            <w:rFonts w:ascii="Arial" w:eastAsia="Arial" w:hAnsi="Arial" w:cs="Arial"/>
            <w:sz w:val="20"/>
            <w:szCs w:val="20"/>
          </w:rPr>
          <w:t>ir@mts.ru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:rsidR="00057EB8" w:rsidRDefault="00057EB8" w:rsidP="00057EB8">
      <w:pPr>
        <w:widowControl w:val="0"/>
        <w:spacing w:before="120" w:after="120" w:line="241" w:lineRule="auto"/>
        <w:ind w:right="7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Telephone</w:t>
      </w:r>
      <w:proofErr w:type="spellEnd"/>
      <w:r>
        <w:rPr>
          <w:rFonts w:ascii="Arial" w:eastAsia="Arial" w:hAnsi="Arial" w:cs="Arial"/>
          <w:sz w:val="20"/>
          <w:szCs w:val="20"/>
        </w:rPr>
        <w:t>: 7 (495) 223-20-25</w:t>
      </w:r>
    </w:p>
    <w:p w:rsidR="00057EB8" w:rsidRDefault="00057EB8" w:rsidP="00057EB8">
      <w:pPr>
        <w:widowControl w:val="0"/>
        <w:spacing w:before="120" w:after="120" w:line="241" w:lineRule="auto"/>
        <w:ind w:right="74"/>
        <w:jc w:val="both"/>
        <w:rPr>
          <w:rFonts w:ascii="Arial" w:eastAsia="Arial" w:hAnsi="Arial" w:cs="Arial"/>
          <w:b/>
          <w:sz w:val="21"/>
          <w:szCs w:val="21"/>
        </w:rPr>
      </w:pPr>
    </w:p>
    <w:p w:rsidR="00057EB8" w:rsidRDefault="00057EB8" w:rsidP="00057EB8">
      <w:pPr>
        <w:widowControl w:val="0"/>
        <w:spacing w:before="120" w:after="120" w:line="241" w:lineRule="auto"/>
        <w:ind w:right="7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Директор по корпоративным финансам и казначейству</w:t>
      </w:r>
    </w:p>
    <w:p w:rsidR="00057EB8" w:rsidRDefault="00057EB8" w:rsidP="00057EB8">
      <w:pPr>
        <w:widowControl w:val="0"/>
        <w:spacing w:before="120" w:after="120" w:line="241" w:lineRule="auto"/>
        <w:ind w:right="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Александр Смирнов</w:t>
      </w:r>
    </w:p>
    <w:p w:rsidR="00057EB8" w:rsidRDefault="00057EB8" w:rsidP="00057EB8">
      <w:pPr>
        <w:widowControl w:val="0"/>
        <w:spacing w:before="120" w:after="120" w:line="241" w:lineRule="auto"/>
        <w:ind w:right="74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Email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hyperlink r:id="rId10">
        <w:r>
          <w:rPr>
            <w:rFonts w:ascii="Arial" w:eastAsia="Arial" w:hAnsi="Arial" w:cs="Arial"/>
            <w:sz w:val="20"/>
            <w:szCs w:val="20"/>
          </w:rPr>
          <w:t>kazna@mts.ru</w:t>
        </w:r>
      </w:hyperlink>
    </w:p>
    <w:p w:rsidR="00057EB8" w:rsidRDefault="00057EB8" w:rsidP="00057EB8">
      <w:pPr>
        <w:widowControl w:val="0"/>
        <w:spacing w:before="120" w:after="120" w:line="241" w:lineRule="auto"/>
        <w:ind w:right="74"/>
        <w:rPr>
          <w:rFonts w:ascii="Arial" w:eastAsia="Arial" w:hAnsi="Arial" w:cs="Arial"/>
          <w:color w:val="467886"/>
          <w:sz w:val="20"/>
          <w:szCs w:val="20"/>
          <w:u w:val="single"/>
        </w:rPr>
      </w:pPr>
    </w:p>
    <w:p w:rsidR="00057EB8" w:rsidRDefault="00057EB8" w:rsidP="00057EB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Контактные данные для СМИ </w:t>
      </w:r>
    </w:p>
    <w:p w:rsidR="00057EB8" w:rsidRDefault="00057EB8" w:rsidP="00057EB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</w:t>
      </w:r>
    </w:p>
    <w:p w:rsidR="00057EB8" w:rsidRDefault="00057EB8" w:rsidP="00057EB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Пресс-секретарь Группы МТС</w:t>
      </w:r>
    </w:p>
    <w:p w:rsidR="00057EB8" w:rsidRDefault="00057EB8" w:rsidP="00057EB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Ирина Дерюгина</w:t>
      </w:r>
    </w:p>
    <w:p w:rsidR="00057EB8" w:rsidRDefault="00057EB8" w:rsidP="00057EB8">
      <w:pPr>
        <w:rPr>
          <w:rFonts w:ascii="Arial" w:eastAsia="Arial" w:hAnsi="Arial" w:cs="Arial"/>
          <w:sz w:val="20"/>
          <w:szCs w:val="20"/>
        </w:rPr>
      </w:pPr>
    </w:p>
    <w:p w:rsidR="00057EB8" w:rsidRDefault="00057EB8" w:rsidP="00057EB8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Email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hyperlink r:id="rId11">
        <w:r>
          <w:rPr>
            <w:rFonts w:ascii="Arial" w:eastAsia="Arial" w:hAnsi="Arial" w:cs="Arial"/>
            <w:sz w:val="20"/>
            <w:szCs w:val="20"/>
          </w:rPr>
          <w:t>irina.deryugina@mts.ru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:rsidR="00057EB8" w:rsidRDefault="00057EB8" w:rsidP="00057EB8">
      <w:pPr>
        <w:rPr>
          <w:rFonts w:ascii="Arial" w:eastAsia="Arial" w:hAnsi="Arial" w:cs="Arial"/>
          <w:sz w:val="20"/>
          <w:szCs w:val="20"/>
          <w:u w:val="single"/>
        </w:rPr>
      </w:pPr>
    </w:p>
    <w:p w:rsidR="00057EB8" w:rsidRDefault="00057EB8" w:rsidP="00057EB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EM</w:t>
      </w:r>
    </w:p>
    <w:p w:rsidR="00057EB8" w:rsidRDefault="00057EB8" w:rsidP="00057EB8">
      <w:pPr>
        <w:rPr>
          <w:rFonts w:ascii="Arial" w:eastAsia="Arial" w:hAnsi="Arial" w:cs="Arial"/>
          <w:b/>
          <w:sz w:val="20"/>
          <w:szCs w:val="20"/>
        </w:rPr>
      </w:pPr>
    </w:p>
    <w:p w:rsidR="00057EB8" w:rsidRDefault="00057EB8" w:rsidP="00057EB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tender-mts@em-comms.com</w:t>
      </w: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sz w:val="16"/>
          <w:szCs w:val="16"/>
        </w:rPr>
      </w:pP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 Компании</w:t>
      </w: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 xml:space="preserve">Публичное акционерное общество «Мобильные </w:t>
      </w:r>
      <w:proofErr w:type="spellStart"/>
      <w:r>
        <w:rPr>
          <w:rFonts w:ascii="Arial" w:eastAsia="Arial" w:hAnsi="Arial" w:cs="Arial"/>
          <w:sz w:val="20"/>
          <w:szCs w:val="20"/>
        </w:rPr>
        <w:t>ТелеСистемы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» (ПАО «МТС») – ведущая компания в России по предоставлению услуг мобильной и фиксированной связи, передачи данных и доступа в интернет, кабельного и спутникового ТВ-вещания; провайдер цифровых сервисов, включая </w:t>
      </w:r>
      <w:proofErr w:type="spellStart"/>
      <w:r>
        <w:rPr>
          <w:rFonts w:ascii="Arial" w:eastAsia="Arial" w:hAnsi="Arial" w:cs="Arial"/>
          <w:sz w:val="20"/>
          <w:szCs w:val="20"/>
        </w:rPr>
        <w:t>финтех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и медиа в рамках экосистем и мобильных приложений; поставщик ИТ-решений в области объединенных коммуникаций, интернета вещей, мониторинга, обработки данных, облачных вычислений, кибербезопасности. В России и Беларуси услугами мобильной связи Группы МТС пользуются более 86 миллионов абонентов. На российском рынке мобильного бизнеса МТС занимает лидирующие позиции, обслуживая крупнейшую 81-миллионную абонентскую базу. Фиксированными услугами МТС – телефонией, доступом в интернет и ТВ – охвачено свыше 10 миллионов абонентов, сервисами OTT и платного ТВ в различных средах – более 13 миллионов пользователей, общее количество экосистемных клиентов МТС превышает 15 миллионов. Компания располагает розничной сетью из более чем 4 400 магазинов в России. Акции МТС котируются на Московской бирже под кодом MTSS. Сайт компании: www.mts.ru    </w:t>
      </w: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  <w:b/>
        </w:rPr>
      </w:pPr>
    </w:p>
    <w:p w:rsidR="00057EB8" w:rsidRDefault="00057EB8" w:rsidP="00057EB8">
      <w:pPr>
        <w:spacing w:before="280" w:after="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Заявления прогнозного характера</w:t>
      </w:r>
    </w:p>
    <w:p w:rsidR="00057EB8" w:rsidRDefault="00057EB8" w:rsidP="00057EB8">
      <w:pPr>
        <w:rPr>
          <w:rFonts w:ascii="Arial" w:eastAsia="Arial" w:hAnsi="Arial" w:cs="Arial"/>
        </w:rPr>
      </w:pPr>
    </w:p>
    <w:p w:rsidR="00057EB8" w:rsidRDefault="00057EB8" w:rsidP="00057EB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НЕ ДЛЯ ИЗДАНИЯ, ПУБЛИКАЦИИ ИЛИ РАСПРОСТРАНЕНИЯ, ПОЛНОСТЬЮ ИЛИ ЧАСТИЧНО, НА ТЕРРИТОРИИ ЛИБО ИЗ КАКОЙ-ЛИБО ЮРИСДИКЦИИ, В КОТОРОЙ ТАКИЕ ДЕЙСТВИЯ ПРЕДСТАВЛЯЛИ БЫ СОБОЙ НАРУШЕНИЕ СООТВЕТСТВУЮЩЕГО ЗАКОНОДАТЕЛЬСТВА ТАКОЙ ЮРИСДИКЦИИ. НАСТОЯЩАЯ ПУБЛИКАЦИЯ НЕ ПОДРАЗУМЕВАЕТ И НЕ ЯВЛЯЕТСЯ ПРЕДЛОЖЕНИЕМ О ПРОДАЖЕ ИЛИ ПРИГЛАШЕНИЕМ ДЕЛАТЬ ПРЕДЛОЖЕНИЯ О ПОКУПКЕ, ОБМЕНЕ ИЛИ ПОДПИСКЕ НА ЛЮБЫЕ ЦЕННЫЕ БУМАГИ В ЛЮБОЙ ЮРИСДИКЦИИ. НАСТОЯЩАЯ ПУБЛИКАЦИЯ НЕ ЯВЛЯЕТСЯ ПРОСПЕКТОМ ЛИБО ДОКУМЕНТОМ, ЭКВИВАЛЕНТНЫМ ПРОСПЕКТУ. </w:t>
      </w:r>
      <w:r>
        <w:rPr>
          <w:rFonts w:ascii="Arial" w:eastAsia="Arial" w:hAnsi="Arial" w:cs="Arial"/>
        </w:rPr>
        <w:lastRenderedPageBreak/>
        <w:t xml:space="preserve">ПУБЛИКАЦИЯ, РАСПРОСТРАНЕНИЕ И ПРЕДОСТАВЛЕНИЕ НАСТОЯЩЕЙ ПУБЛИКАЦИИ В ОПРЕДЕЛЕННЫХ ЮРИСДИКЦИЯХ МОГУТ БЫТЬ ОГРАНИЧЕНЫ ЗАКОНОДАТЕЛЬСТВОМ ТАКИХ ЮРИСДИКЦИЙ, И ЛИЦА ДОЛЖНЫ ОЗНАКОМИТЬСЯ С ЗАКОНОДАТЕЛЬСТВОМ ТАКИХ ЮРИСДИКЦИЙ И СОБЛЮДАТЬ ЛЮБЫЕ ПРИМЕНИМЫЕ ТРЕБОВАНИЯ. ООО «СТРИМ ДИДЖИТАЛ» (ДАЛЕЕ – «ПОКУПАТЕЛЬ») НЕ НАПРАВЛЯЕТ ТЕНДЕРНОЕ ПРЕДЛОЖЕНИЕ И НЕ БУДЕТ ПРИОБРЕТАТЬ ПРЕДЪЯВЛЕННЫЕ К ВЫКУПУ АКЦИИ У АКЦИОНЕРОВ В РАМКАХ ЛЮБОЙ ЮРИСДИКЦИИ, ЕСЛИ ЭТО ЗАПРЕЩЕНО В СООТВЕТСТВИИ С ЗАКОНОДАТЕЛЬСТВОМ ТАКОЙ ЮРИСДИКЦИИ. СОДЕРЖАНИЕ МЕМОРАНДУМА О ТЕНДЕРНОМ ПРЕДЛОЖЕНИИ ПРЕДНАЗНАЧЕНО ИСКЛЮЧИТЕЛЬНО ДЛЯ АКЦИОНЕРОВ, ИХ УПОЛНОМОЧЕННЫХ ПРЕДСТАВИТЕЛЕЙ И АГЕНТОВ. МЕМОРАНДУМ О ТЕНДЕРНОМ ПРЕДЛОЖЕНИИ, ТЕНДЕРНОЕ ПРЕДЛОЖЕНИЕ И ЛЮБЫЕ СВЕДЕНИЯ, ИЗЛОЖЕННЫЕ В НАСТОЯЩЕЙ ПУБЛИКАЦИИ, НЕ ЯВЛЯЮТСЯ ОФЕРТОЙ В СООТВЕТСТВИИ С РОССИЙСКИМ ЗАКОНОДАТЕЛЬСТВОМ, РЕКЛАМОЙ, ПРЕДЛОЖЕНИЕМ ЦЕННЫХ БУМАГ НЕОГРАНИЧЕННОМУ КРУГУ ЛИЦ НА ТЕРРИТОРИИ ИЛИ ЗА ПРЕДЕЛАМИ РОССИЙСКОЙ ФЕДЕРАЦИИ, ДОБРОВОЛЬНЫМ ИЛИ ОБЯЗАТЕЛЬНЫМ ПРЕДЛОЖЕНИЕМ В СООТВЕТСТВИИ С ФЕДЕРАЛЬНЫМ ЗАКОНОМ РОССИЙСКОЙ ФЕДЕРАЦИИ «ОБ АКЦИОНЕРНЫХ ОБЩЕСТВАХ» ИЛИ АУКЦИОНОМ В СООТВЕТСТВИИ С ПОЛОЖЕНИЯМИ СТАТЕЙ 447-449 ГРАЖДАНСКОГО КОДЕКСА РОССИЙСКОЙ ФЕДЕРАЦИИ ИЛИ ПРИМЕНИМЫМИ ЗАКОНОДАТЕЛЬНЫМИ АКТАМИ РОССИЙСКОЙ ФЕДЕРАЦИИ. ТЕНДЕРНОЕ ПРЕДЛОЖЕНИЕ НЕ ЯВЛЯЕТСЯ ПРЕДЛОЖЕНИЕМ ДЕЛАТЬ ОФЕРТЫ О ПРОДАЖЕ ЦЕННЫХ БУМАГ В ЛЮБЫХ УСЛОВИЯХ, ПРИ КОТОРЫХ ТАКОЕ ПРЕДЛОЖЕНИЕ ЗАПРЕЩЕНО В СООТВЕТСТВИИ С ЗАКОНОДАТЕЛЬСТВОМ. НИ ПРЕДОСТАВЛЕНИЕ МЕМОРАНДУМА О ТЕНДЕРНОМ ПРЕДЛОЖЕНИИ, НИ ПОКУПКА КАКИХ-ЛИБО АКЦИЙ НИ ПРИ КАКИХ ОБСТОЯТЕЛЬСТВАХ НЕ ЯВЛЯЮТСЯ ГАРАНТИЕЙ ТОГО, ЧТО ИНФОРМАЦИЯ, ПРЕДСТАВЛЕННАЯ В НАСТОЯЩЕЙ ПУБЛИКАЦИИ, АКТУАЛЬНА НА ЛЮБУЮ ДАТУ, СЛЕДУЮЩУЮ ЗА ДАТОЙ ПУБЛИКАЦИИ ТАКОЙ ИНФОРМАЦИИ. НЕКОТОРЫЕ ИЗ СВЕДЕНИЙ, ИЗЛОЖЕННЫХ В НАСТОЯЩЕЙ ПУБЛИКАЦИИ, МОГУТ СОДЕРЖАТЬ ПРОГНОЗНЫЕ ЗАЯВЛЕНИЯ. ВСЕ ЗАЯВЛЕНИЯ, ПОМИМО ЗАЯВЛЕНИЙ ОБ ИСТОРИЧЕСКИХ ФАКТАХ, КОТОРЫЕ ВКЛЮЧЕНЫ В НАСТОЯЩУЮ ПУБЛИКАЦИЮ И ОТНОСЯТСЯ К ДЕЯТЕЛЬНОСТИ, СОБЫТИЯМ ИЛИ ИЗМЕНЕНИЯМ, КОТОРЫЕ ПОКУПАТЕЛЬ ИЛИ МТС ПРОГНОЗИРУЮТ ЛИБО ОЖИДАЮТ В БУДУЩЕМ, ЯВЛЯЮТСЯ ПРОГНОЗНЫМИ ЗАЯВЛЕНИЯМИ. ЛЮБЫЕ ТАКИЕ ПРОГНОЗНЫЕ ЗАЯВЛЕНИЯ СОДЕРЖАТ ЭЛЕМЕНТЫ НЕОПРЕДЕЛЕННОСТИ, КОТОРЫЕ МОГУТ ПРИВЕСТИ К ТОМУ, ЧТО ФАКТИЧЕСКИЕ ПОКАЗАТЕЛИ ДЕЯТЕЛЬНОСТИ БУДУТ СУЩЕСТВЕННО ОТЛИЧАТЬСЯ ОТ ПРЕДПОЛАГАЕМЫХ В ПРОГНОЗНОМ ЗАЯВЛЕНИИ. НИ ПОКУПАТЕЛЬ, НИ МТС НЕ ДАЮТ НИКАКИХ ЗАВЕРЕНИЙ, ГАРАНТИЙ ИЛИ ПРОГНОЗОВ О ТОМ, ЧТО РЕЗУЛЬТАТЫ, ПРЕДПОЛАГАЕМЫЕ В ТАКИХ ПРОГНОЗНЫХ ЗАЯВЛЕНИЯХ, БУДУТ ДОСТИГНУТЫ, И ТАКИЕ ПРОГНОЗНЫЕ ЗАЯВЛЕНИЯ ПРЕДСТАВЛЯЮТ СОБОЙ, В КАЖДОМ СЛУЧАЕ, ТОЛЬКО ОДИН ИЗ МНОЖЕСТВА ВОЗМОЖНЫХ СЦЕНАРИЕВ И НЕ ДОЛЖНЫ РАССМАТРИВАТЬСЯ КАК НАИБОЛЕЕ ВЕРОЯТНЫЙ ИЛИ СТАНДАРТНЫЙ СЦЕНАРИЙ. СООТВЕТСТВЕННО АКЦИОНЕРАМ НЕ СЛЕДУЕТ ИЗЛИШНЕ ПОЛАГАТЬСЯ НА ТАКИЕ ПРОГНОЗНЫЕ ЗАЯВЛЕНИЯ. ЛЮБЫЕ ПРОГНОЗНЫЕ ЗАЯВЛЕНИЯ АКТУАЛЬНЫ ТОЛЬКО НА ДАТУ, В КОТОРУЮ ОНИ СДЕЛАНЫ, И С УЧЕТОМ ПРИМЕНИМОГО ЗАКОНОДАТЕЛЬСТВА НИ ПОКУПАТЕЛЬ, НИ </w:t>
      </w:r>
      <w:r>
        <w:rPr>
          <w:rFonts w:ascii="Arial" w:eastAsia="Arial" w:hAnsi="Arial" w:cs="Arial"/>
        </w:rPr>
        <w:lastRenderedPageBreak/>
        <w:t>МТС НЕ ПРИНИМАЮТ НИКАКИХ ОБЯЗАТЕЛЬСТВ ПО ОБНОВЛЕНИЮ КАКИХ-ЛИБО ПРОГНОЗНЫХ ЗАЯВЛЕНИЙ С ТЕМ, ЧТОБЫ ОНИ ОТРАЖАЛИ СОБЫТИЯ ИЛИ ОБСТОЯТЕЛЬСТВА, ВОЗНИКШИЕ ПОСЛЕ ДАТЫ, В КОТОРУЮ ТАКОЕ ПРОГНОЗНОЕ ЗАЯВЛЕНИЕ СДЕЛАНО, ИЛИ ОТРАЖАЛИ НАСТУПЛЕНИЕ НЕПРЕДВИДЕННЫХ СОБЫТИЙ.</w:t>
      </w:r>
    </w:p>
    <w:p w:rsidR="005054CB" w:rsidRDefault="005054CB" w:rsidP="00057EB8">
      <w:pPr>
        <w:keepNext/>
        <w:jc w:val="both"/>
      </w:pPr>
    </w:p>
    <w:sectPr w:rsidR="005054CB">
      <w:headerReference w:type="default" r:id="rId12"/>
      <w:pgSz w:w="11900" w:h="16840"/>
      <w:pgMar w:top="2942" w:right="701" w:bottom="1134" w:left="1259" w:header="8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922" w:rsidRDefault="00E20922">
      <w:r>
        <w:separator/>
      </w:r>
    </w:p>
  </w:endnote>
  <w:endnote w:type="continuationSeparator" w:id="0">
    <w:p w:rsidR="00E20922" w:rsidRDefault="00E2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922" w:rsidRDefault="00E20922">
      <w:r>
        <w:separator/>
      </w:r>
    </w:p>
  </w:footnote>
  <w:footnote w:type="continuationSeparator" w:id="0">
    <w:p w:rsidR="00E20922" w:rsidRDefault="00E2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12C" w:rsidRDefault="00D56569">
    <w:pPr>
      <w:widowControl w:val="0"/>
      <w:jc w:val="right"/>
    </w:pPr>
    <w:r>
      <w:rPr>
        <w:rStyle w:val="A4"/>
        <w:noProof/>
      </w:rPr>
      <w:drawing>
        <wp:inline distT="0" distB="0" distL="0" distR="0">
          <wp:extent cx="965775" cy="965775"/>
          <wp:effectExtent l="0" t="0" r="0" b="0"/>
          <wp:docPr id="1073741825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5775" cy="96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0CE"/>
    <w:multiLevelType w:val="multilevel"/>
    <w:tmpl w:val="29C27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D516C03"/>
    <w:multiLevelType w:val="multilevel"/>
    <w:tmpl w:val="E1840A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574122665">
    <w:abstractNumId w:val="1"/>
  </w:num>
  <w:num w:numId="2" w16cid:durableId="2025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2C"/>
    <w:rsid w:val="00014977"/>
    <w:rsid w:val="000336A2"/>
    <w:rsid w:val="00057EB8"/>
    <w:rsid w:val="000A4D2D"/>
    <w:rsid w:val="000E1C72"/>
    <w:rsid w:val="000F6332"/>
    <w:rsid w:val="001301A7"/>
    <w:rsid w:val="00133634"/>
    <w:rsid w:val="00172E4E"/>
    <w:rsid w:val="001742A5"/>
    <w:rsid w:val="001A76C8"/>
    <w:rsid w:val="001D3FCA"/>
    <w:rsid w:val="001D4839"/>
    <w:rsid w:val="00221A0F"/>
    <w:rsid w:val="002244E5"/>
    <w:rsid w:val="00275618"/>
    <w:rsid w:val="002C448E"/>
    <w:rsid w:val="002F049E"/>
    <w:rsid w:val="0030012C"/>
    <w:rsid w:val="003040C3"/>
    <w:rsid w:val="003047B8"/>
    <w:rsid w:val="0031677C"/>
    <w:rsid w:val="003200DD"/>
    <w:rsid w:val="0032128C"/>
    <w:rsid w:val="003254FB"/>
    <w:rsid w:val="00365E84"/>
    <w:rsid w:val="00421854"/>
    <w:rsid w:val="00486431"/>
    <w:rsid w:val="00492F97"/>
    <w:rsid w:val="004F1532"/>
    <w:rsid w:val="004F2BF6"/>
    <w:rsid w:val="005054CB"/>
    <w:rsid w:val="00521AAC"/>
    <w:rsid w:val="005351A3"/>
    <w:rsid w:val="005561E5"/>
    <w:rsid w:val="0057181B"/>
    <w:rsid w:val="00584825"/>
    <w:rsid w:val="005C4D20"/>
    <w:rsid w:val="005D606A"/>
    <w:rsid w:val="005F4CA0"/>
    <w:rsid w:val="00601FF2"/>
    <w:rsid w:val="00637708"/>
    <w:rsid w:val="00641507"/>
    <w:rsid w:val="00653374"/>
    <w:rsid w:val="00665F61"/>
    <w:rsid w:val="0067683B"/>
    <w:rsid w:val="00695804"/>
    <w:rsid w:val="006B4AE9"/>
    <w:rsid w:val="006B6BFF"/>
    <w:rsid w:val="006C0F5F"/>
    <w:rsid w:val="006E371D"/>
    <w:rsid w:val="006E387B"/>
    <w:rsid w:val="006F4597"/>
    <w:rsid w:val="0072606F"/>
    <w:rsid w:val="007374E3"/>
    <w:rsid w:val="007441AF"/>
    <w:rsid w:val="00792329"/>
    <w:rsid w:val="007D4FF4"/>
    <w:rsid w:val="008853EB"/>
    <w:rsid w:val="008D20CE"/>
    <w:rsid w:val="008E153E"/>
    <w:rsid w:val="00915E6E"/>
    <w:rsid w:val="00935EE0"/>
    <w:rsid w:val="00945AC1"/>
    <w:rsid w:val="009C4886"/>
    <w:rsid w:val="00A27411"/>
    <w:rsid w:val="00A31582"/>
    <w:rsid w:val="00A417C9"/>
    <w:rsid w:val="00A849C6"/>
    <w:rsid w:val="00A95569"/>
    <w:rsid w:val="00AE140E"/>
    <w:rsid w:val="00AE5391"/>
    <w:rsid w:val="00B1623A"/>
    <w:rsid w:val="00B45449"/>
    <w:rsid w:val="00B52B40"/>
    <w:rsid w:val="00B61738"/>
    <w:rsid w:val="00B858A7"/>
    <w:rsid w:val="00BA51B7"/>
    <w:rsid w:val="00BC37C4"/>
    <w:rsid w:val="00BD1491"/>
    <w:rsid w:val="00C0195D"/>
    <w:rsid w:val="00C23FF9"/>
    <w:rsid w:val="00C272BD"/>
    <w:rsid w:val="00C327B0"/>
    <w:rsid w:val="00C87A57"/>
    <w:rsid w:val="00CA6666"/>
    <w:rsid w:val="00CB6202"/>
    <w:rsid w:val="00CD5A28"/>
    <w:rsid w:val="00CE207F"/>
    <w:rsid w:val="00D069B5"/>
    <w:rsid w:val="00D14FFA"/>
    <w:rsid w:val="00D3720A"/>
    <w:rsid w:val="00D41BD2"/>
    <w:rsid w:val="00D554ED"/>
    <w:rsid w:val="00D56569"/>
    <w:rsid w:val="00D86578"/>
    <w:rsid w:val="00D9740C"/>
    <w:rsid w:val="00DC01F2"/>
    <w:rsid w:val="00DC63A1"/>
    <w:rsid w:val="00E20922"/>
    <w:rsid w:val="00E60B73"/>
    <w:rsid w:val="00E747CA"/>
    <w:rsid w:val="00E82F2A"/>
    <w:rsid w:val="00EF2D63"/>
    <w:rsid w:val="00EF61C2"/>
    <w:rsid w:val="00F0701C"/>
    <w:rsid w:val="00F12F75"/>
    <w:rsid w:val="00F13015"/>
    <w:rsid w:val="00F33286"/>
    <w:rsid w:val="00FB7F1F"/>
    <w:rsid w:val="00FC55BC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7716B-5CA0-4862-BF62-01A1CF21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ет A"/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1">
    <w:name w:val="p1"/>
    <w:rPr>
      <w:rFonts w:ascii="Cambria" w:hAnsi="Cambria" w:cs="Arial Unicode MS"/>
      <w:color w:val="000000"/>
      <w:sz w:val="26"/>
      <w:szCs w:val="26"/>
      <w:u w:color="000000"/>
    </w:rPr>
  </w:style>
  <w:style w:type="paragraph" w:customStyle="1" w:styleId="A7">
    <w:name w:val="По умолчанию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rFonts w:ascii="Arial" w:eastAsia="Arial" w:hAnsi="Arial" w:cs="Arial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1">
    <w:name w:val="Hyperlink.1"/>
    <w:basedOn w:val="a8"/>
    <w:rPr>
      <w:rFonts w:ascii="Arial" w:eastAsia="Arial" w:hAnsi="Arial" w:cs="Arial"/>
      <w:outline w:val="0"/>
      <w:color w:val="0000FF"/>
      <w:sz w:val="12"/>
      <w:szCs w:val="12"/>
      <w:u w:val="single" w:color="0000FF"/>
    </w:rPr>
  </w:style>
  <w:style w:type="character" w:styleId="a9">
    <w:name w:val="FollowedHyperlink"/>
    <w:basedOn w:val="a0"/>
    <w:uiPriority w:val="99"/>
    <w:semiHidden/>
    <w:unhideWhenUsed/>
    <w:rsid w:val="00B858A7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D554ED"/>
  </w:style>
  <w:style w:type="paragraph" w:styleId="aa">
    <w:name w:val="Normal (Web)"/>
    <w:basedOn w:val="a"/>
    <w:uiPriority w:val="99"/>
    <w:semiHidden/>
    <w:unhideWhenUsed/>
    <w:rsid w:val="002F04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mts.ru/tender_off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.mts.ru/tender_offe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ina.deryugina@mt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zna@mt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@mts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Ольга</dc:creator>
  <cp:lastModifiedBy>Дерюгина Ирина</cp:lastModifiedBy>
  <cp:revision>2</cp:revision>
  <dcterms:created xsi:type="dcterms:W3CDTF">2024-05-27T11:39:00Z</dcterms:created>
  <dcterms:modified xsi:type="dcterms:W3CDTF">2024-05-27T11:39:00Z</dcterms:modified>
</cp:coreProperties>
</file>